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D4DDF" w:rsidRDefault="00CD4DDF" w:rsidP="00A94098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B0F0"/>
          <w:kern w:val="0"/>
          <w:lang w:val="en-US"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B0F0"/>
          <w:kern w:val="0"/>
          <w:lang w:val="en-US" w:eastAsia="en-GB"/>
          <w14:ligatures w14:val="none"/>
        </w:rPr>
        <w:t>Appendix 1</w:t>
      </w:r>
    </w:p>
    <w:p w:rsidR="00A94098" w:rsidRPr="0030261E" w:rsidRDefault="00A94098" w:rsidP="00A94098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B0F0"/>
          <w:kern w:val="0"/>
          <w:lang w:eastAsia="en-GB"/>
          <w14:ligatures w14:val="none"/>
        </w:rPr>
      </w:pPr>
      <w:r w:rsidRPr="0030261E">
        <w:rPr>
          <w:rFonts w:ascii="Times New Roman" w:eastAsia="Times New Roman" w:hAnsi="Times New Roman" w:cs="Times New Roman"/>
          <w:b/>
          <w:bCs/>
          <w:color w:val="00B0F0"/>
          <w:kern w:val="0"/>
          <w:lang w:val="en-US" w:eastAsia="en-GB"/>
          <w14:ligatures w14:val="none"/>
        </w:rPr>
        <w:t>T</w:t>
      </w:r>
      <w:r w:rsidRPr="0030261E">
        <w:rPr>
          <w:rFonts w:ascii="Times New Roman" w:eastAsia="Times New Roman" w:hAnsi="Times New Roman" w:cs="Times New Roman"/>
          <w:b/>
          <w:bCs/>
          <w:color w:val="00B0F0"/>
          <w:kern w:val="0"/>
          <w:lang w:eastAsia="en-GB"/>
          <w14:ligatures w14:val="none"/>
        </w:rPr>
        <w:t>able 1</w:t>
      </w:r>
      <w:r w:rsidR="006C7D0C">
        <w:rPr>
          <w:rFonts w:ascii="Times New Roman" w:eastAsia="Times New Roman" w:hAnsi="Times New Roman" w:cs="Times New Roman"/>
          <w:b/>
          <w:bCs/>
          <w:color w:val="00B0F0"/>
          <w:kern w:val="0"/>
          <w:lang w:val="en-US" w:eastAsia="en-GB"/>
          <w14:ligatures w14:val="none"/>
        </w:rPr>
        <w:t>A</w:t>
      </w:r>
      <w:r w:rsidRPr="0030261E">
        <w:rPr>
          <w:rFonts w:ascii="Times New Roman" w:eastAsia="Times New Roman" w:hAnsi="Times New Roman" w:cs="Times New Roman"/>
          <w:b/>
          <w:bCs/>
          <w:color w:val="00B0F0"/>
          <w:kern w:val="0"/>
          <w:lang w:eastAsia="en-GB"/>
          <w14:ligatures w14:val="none"/>
        </w:rPr>
        <w:t xml:space="preserve">. </w:t>
      </w:r>
      <w:r w:rsidR="0030261E" w:rsidRPr="0030261E">
        <w:rPr>
          <w:b/>
          <w:bCs/>
          <w:color w:val="00B0F0"/>
        </w:rPr>
        <w:t>Risk of bias assessment of guidelines and consensus statements</w:t>
      </w:r>
      <w:r w:rsidR="0030261E" w:rsidRPr="0030261E">
        <w:rPr>
          <w:b/>
          <w:bCs/>
          <w:color w:val="00B0F0"/>
          <w:lang w:val="en-US"/>
        </w:rPr>
        <w:t xml:space="preserve"> </w:t>
      </w:r>
      <w:r w:rsidR="0030261E" w:rsidRPr="0030261E">
        <w:rPr>
          <w:b/>
          <w:bCs/>
          <w:color w:val="00B0F0"/>
        </w:rPr>
        <w:t>(AGREE II framework)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6"/>
        <w:gridCol w:w="1494"/>
        <w:gridCol w:w="1789"/>
        <w:gridCol w:w="1361"/>
        <w:gridCol w:w="8788"/>
      </w:tblGrid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First author (year)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Type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Overall RoB*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Comment / main limitations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Davis (2018)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ASCRS guideline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Formal society guideline with structured search, explicit grading of evidence; some domains (patient involvement, implementation tools) only moderately detailed. </w:t>
            </w:r>
            <w:hyperlink r:id="rId4" w:tgtFrame="_blank" w:history="1">
              <w:r w:rsidRPr="00833E7C">
                <w:rPr>
                  <w:rFonts w:ascii="Times New Roman" w:eastAsia="Times New Roman" w:hAnsi="Times New Roman" w:cs="Times New Roman"/>
                  <w:color w:val="0000FF"/>
                  <w:kern w:val="0"/>
                  <w:sz w:val="20"/>
                  <w:szCs w:val="20"/>
                  <w:u w:val="single"/>
                  <w:lang w:eastAsia="en-GB"/>
                  <w14:ligatures w14:val="none"/>
                </w:rPr>
                <w:t>PubMed+1</w:t>
              </w:r>
            </w:hyperlink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Hawkins (2024)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Updated ASCRS guideline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High-quality update with transparent methods, comprehensive review and grading; minor limitations in stakeholder/public involvement reporting.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van Tol (2020)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ESCP guideline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Multidisciplinary, systematic approach with explicit methods; minor issues with implementation and resource discussion.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Trompetto (2015)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Italian SICCR consensus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Earlier consensus; methods less explicitly systematic, limited reporting of search strategy and conflict-of-interest management.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Gallo (2020)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Updated SICCR consensus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More structured than 2015 paper, but still less detailed than ASCRS/ESCP in search and stakeholder involvement.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Brillantino (2024)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SIUCP guideline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National guideline with defined methodology, but some AGREE II domains (applicability, external review) not extensively described.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Yamana (2017)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Japanese guideline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Clear recommendations, but limited transparency on systematic search and formal grading of evidence in English-language summary.</w:t>
            </w:r>
          </w:p>
        </w:tc>
      </w:tr>
    </w:tbl>
    <w:p w:rsidR="00A94098" w:rsidRPr="00833E7C" w:rsidRDefault="00A94098" w:rsidP="00A94098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833E7C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GB"/>
          <w14:ligatures w14:val="none"/>
        </w:rPr>
        <w:t>*RoB here is </w:t>
      </w:r>
      <w:r w:rsidRPr="00833E7C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reverse-coded AGREE II quality</w:t>
      </w:r>
      <w:r w:rsidRPr="00833E7C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GB"/>
          <w14:ligatures w14:val="none"/>
        </w:rPr>
        <w:t> (Low RoB ≈ high guideline quality).</w:t>
      </w:r>
    </w:p>
    <w:p w:rsidR="00A94098" w:rsidRPr="00A94098" w:rsidRDefault="00A94098" w:rsidP="00A94098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A94098" w:rsidRPr="0030261E" w:rsidRDefault="00A94098" w:rsidP="00A94098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B0F0"/>
          <w:kern w:val="0"/>
          <w:lang w:eastAsia="en-GB"/>
          <w14:ligatures w14:val="none"/>
        </w:rPr>
      </w:pPr>
      <w:r w:rsidRPr="00833E7C">
        <w:rPr>
          <w:rFonts w:ascii="Times New Roman" w:eastAsia="Times New Roman" w:hAnsi="Times New Roman" w:cs="Times New Roman"/>
          <w:b/>
          <w:bCs/>
          <w:color w:val="00B0F0"/>
          <w:kern w:val="0"/>
          <w:lang w:eastAsia="en-GB"/>
          <w14:ligatures w14:val="none"/>
        </w:rPr>
        <w:t>Table 2</w:t>
      </w:r>
      <w:r w:rsidR="006C7D0C">
        <w:rPr>
          <w:rFonts w:ascii="Times New Roman" w:eastAsia="Times New Roman" w:hAnsi="Times New Roman" w:cs="Times New Roman"/>
          <w:b/>
          <w:bCs/>
          <w:color w:val="00B0F0"/>
          <w:kern w:val="0"/>
          <w:lang w:val="en-US" w:eastAsia="en-GB"/>
          <w14:ligatures w14:val="none"/>
        </w:rPr>
        <w:t>A</w:t>
      </w:r>
      <w:r w:rsidRPr="00833E7C">
        <w:rPr>
          <w:rFonts w:ascii="Times New Roman" w:eastAsia="Times New Roman" w:hAnsi="Times New Roman" w:cs="Times New Roman"/>
          <w:b/>
          <w:bCs/>
          <w:color w:val="00B0F0"/>
          <w:kern w:val="0"/>
          <w:lang w:eastAsia="en-GB"/>
          <w14:ligatures w14:val="none"/>
        </w:rPr>
        <w:t xml:space="preserve">. </w:t>
      </w:r>
      <w:r w:rsidR="0030261E" w:rsidRPr="0030261E">
        <w:rPr>
          <w:b/>
          <w:bCs/>
          <w:color w:val="00B0F0"/>
        </w:rPr>
        <w:t>Methodological quality assessment of systematic reviews and meta-analyses</w:t>
      </w:r>
      <w:r w:rsidR="0030261E" w:rsidRPr="0030261E">
        <w:rPr>
          <w:b/>
          <w:bCs/>
          <w:color w:val="00B0F0"/>
          <w:lang w:val="en-US"/>
        </w:rPr>
        <w:t xml:space="preserve"> </w:t>
      </w:r>
      <w:r w:rsidR="0030261E" w:rsidRPr="0030261E">
        <w:rPr>
          <w:b/>
          <w:bCs/>
          <w:color w:val="00B0F0"/>
        </w:rPr>
        <w:t>(AMSTAR 2 tool)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6"/>
        <w:gridCol w:w="1491"/>
        <w:gridCol w:w="3593"/>
        <w:gridCol w:w="1385"/>
        <w:gridCol w:w="6963"/>
      </w:tblGrid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First author (year)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Design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Overall RoB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Comment / key limitations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Gavriilidis (2023)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Systematic review of guideline consistency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Clear question and structured search; primary limitation is heterogeneity and conceptual nature of outcomes across guidelines.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Yeo (2014)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Narrative review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Moderate–High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Educational review; no protocol, limited description of search and selection; not designed as a SR.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Simillis (2015)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Network meta-analysis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Robust methods and statistical synthesis; older trials, variable RoB of included RCTs and potential publication bias.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11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Milito (2010)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Meta-analysis (Ligasure vs conventional)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Reasonable search and synthesis for its time; limited protocol reporting, small and heterogeneous RCTs.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Albazee (2023)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Meta-analysis (Harmonic vs bipolar)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Modern meta-analysis with structured search; small number of RCTs and limited long-term outcomes.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Ruan (2021)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Systematic review (SH vs open)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Clear protocol, PRISMA reporting, risk-of-bias evaluation and appropriate synthesis. </w:t>
            </w:r>
            <w:hyperlink r:id="rId5" w:tgtFrame="_blank" w:history="1">
              <w:r w:rsidRPr="00833E7C">
                <w:rPr>
                  <w:rFonts w:ascii="Times New Roman" w:eastAsia="Times New Roman" w:hAnsi="Times New Roman" w:cs="Times New Roman"/>
                  <w:color w:val="0000FF"/>
                  <w:kern w:val="0"/>
                  <w:sz w:val="20"/>
                  <w:szCs w:val="20"/>
                  <w:u w:val="single"/>
                  <w:lang w:eastAsia="en-GB"/>
                  <w14:ligatures w14:val="none"/>
                </w:rPr>
                <w:t>SpringerLink+1</w:t>
              </w:r>
            </w:hyperlink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Tan (2022)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 + meta-analysis (LHP vs MMH)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PRISMA-compliant, protocol and RoB assessment reported, appropriate meta-analytic methods. </w:t>
            </w:r>
            <w:hyperlink r:id="rId6" w:tgtFrame="_blank" w:history="1">
              <w:r w:rsidRPr="00833E7C">
                <w:rPr>
                  <w:rFonts w:ascii="Times New Roman" w:eastAsia="Times New Roman" w:hAnsi="Times New Roman" w:cs="Times New Roman"/>
                  <w:color w:val="0000FF"/>
                  <w:kern w:val="0"/>
                  <w:sz w:val="20"/>
                  <w:szCs w:val="20"/>
                  <w:u w:val="single"/>
                  <w:lang w:eastAsia="en-GB"/>
                  <w14:ligatures w14:val="none"/>
                </w:rPr>
                <w:t>PMC+1</w:t>
              </w:r>
            </w:hyperlink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Lie (2022)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Systematic review (LHP)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Systematic methods; some heterogeneity and limited long-term data; small sample sizes in included studies. </w:t>
            </w:r>
            <w:hyperlink r:id="rId7" w:tgtFrame="_blank" w:history="1">
              <w:r w:rsidRPr="00833E7C">
                <w:rPr>
                  <w:rFonts w:ascii="Times New Roman" w:eastAsia="Times New Roman" w:hAnsi="Times New Roman" w:cs="Times New Roman"/>
                  <w:color w:val="0000FF"/>
                  <w:kern w:val="0"/>
                  <w:sz w:val="20"/>
                  <w:szCs w:val="20"/>
                  <w:u w:val="single"/>
                  <w:lang w:eastAsia="en-GB"/>
                  <w14:ligatures w14:val="none"/>
                </w:rPr>
                <w:t>Europe PMC</w:t>
              </w:r>
            </w:hyperlink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Wee (2023)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Meta-analysis (LHP vs conventional)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Good methodology and reporting, but dependent on small RCTs/observational cohorts with variable RoB.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Li (2024)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Systematic review (980 vs 1470 nm LHP)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Focused question and structured search; relatively small evidence base, some unclear RoB in primary studies.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Tutino (2025)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Meta-analysis (HAL ± Doppler)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Appropriate pooled analysis; limitations include between-study heterogeneity and unclear blinding/allocation in some RCTs.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van de Hoef (2023)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Systematic review (HAL vs other techniques)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Wide range of comparators, clinical heterogeneity and limited long-term outcomes affect certainty.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0" w:type="auto"/>
            <w:hideMark/>
          </w:tcPr>
          <w:p w:rsidR="00A94098" w:rsidRPr="003D16A5" w:rsidRDefault="003D16A5" w:rsidP="00A94098">
            <w:pP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16A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Chen YT</w:t>
            </w:r>
            <w:r w:rsidR="00A94098" w:rsidRPr="003D16A5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en-GB"/>
                <w14:ligatures w14:val="none"/>
              </w:rPr>
              <w:t xml:space="preserve"> (202</w:t>
            </w:r>
            <w:r w:rsidRPr="003D16A5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 w:eastAsia="en-GB"/>
                <w14:ligatures w14:val="none"/>
              </w:rPr>
              <w:t>5</w:t>
            </w:r>
            <w:r w:rsidR="00A94098" w:rsidRPr="003D16A5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 (SH recurrence &amp; complications)*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Same high-quality SR as ref 13, focused on recurrence/complications subset. </w:t>
            </w:r>
            <w:hyperlink r:id="rId8" w:tgtFrame="_blank" w:history="1">
              <w:r w:rsidRPr="00833E7C">
                <w:rPr>
                  <w:rFonts w:ascii="Times New Roman" w:eastAsia="Times New Roman" w:hAnsi="Times New Roman" w:cs="Times New Roman"/>
                  <w:color w:val="0000FF"/>
                  <w:kern w:val="0"/>
                  <w:sz w:val="20"/>
                  <w:szCs w:val="20"/>
                  <w:u w:val="single"/>
                  <w:lang w:eastAsia="en-GB"/>
                  <w14:ligatures w14:val="none"/>
                </w:rPr>
                <w:t>SpringerLink</w:t>
              </w:r>
            </w:hyperlink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Jin (2025)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Meta-analysis (incontinence after hemorrhoidectomy vs SH)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Pooled long-term functional outcomes, but relies on RCTs with variable assessment of continence and follow-up completeness.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Lohsiriwat (2023)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Systematic review (recurrence &amp; medical therapy)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Broad question, structured search; evidence mostly observational and heterogeneous.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Quan (2025)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Meta-analysis (surgical vs conservative)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Appropriate methods; limitations include variable definitions of “conservative” and outcome measures.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Zou (2025)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Evidence summary on pain management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Moderate–Low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Good overview using contemporary evidence; partly narrative, with limited formal meta-analysis across all analgesic strategies.</w:t>
            </w:r>
          </w:p>
        </w:tc>
      </w:tr>
      <w:tr w:rsidR="00A94098" w:rsidRPr="00A94098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Yang (2023)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Network meta-analysis (analgesia)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Low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Network meta-analysis with formal RoB and inconsistency checks; main limitations are indirectness and variability in pain scales.</w:t>
            </w:r>
          </w:p>
        </w:tc>
      </w:tr>
    </w:tbl>
    <w:p w:rsidR="00A94098" w:rsidRPr="00A94098" w:rsidRDefault="00A94098" w:rsidP="00A94098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409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*Same paper, different analytic focus; you may keep it as a separate row to preserve reference numbering.</w:t>
      </w:r>
    </w:p>
    <w:p w:rsidR="00A94098" w:rsidRPr="0030261E" w:rsidRDefault="00A94098" w:rsidP="0030261E">
      <w:pPr>
        <w:spacing w:before="100" w:beforeAutospacing="1" w:after="100" w:afterAutospacing="1"/>
        <w:outlineLvl w:val="1"/>
        <w:rPr>
          <w:color w:val="000000"/>
        </w:rPr>
      </w:pPr>
      <w:r w:rsidRPr="00833E7C">
        <w:rPr>
          <w:rFonts w:ascii="Times New Roman" w:eastAsia="Times New Roman" w:hAnsi="Times New Roman" w:cs="Times New Roman"/>
          <w:b/>
          <w:bCs/>
          <w:color w:val="00B0F0"/>
          <w:kern w:val="0"/>
          <w:lang w:eastAsia="en-GB"/>
          <w14:ligatures w14:val="none"/>
        </w:rPr>
        <w:t>Table 3</w:t>
      </w:r>
      <w:r w:rsidR="006C7D0C">
        <w:rPr>
          <w:rFonts w:ascii="Times New Roman" w:eastAsia="Times New Roman" w:hAnsi="Times New Roman" w:cs="Times New Roman"/>
          <w:b/>
          <w:bCs/>
          <w:color w:val="00B0F0"/>
          <w:kern w:val="0"/>
          <w:lang w:val="en-US" w:eastAsia="en-GB"/>
          <w14:ligatures w14:val="none"/>
        </w:rPr>
        <w:t>A</w:t>
      </w:r>
      <w:r w:rsidRPr="00833E7C">
        <w:rPr>
          <w:rFonts w:ascii="Times New Roman" w:eastAsia="Times New Roman" w:hAnsi="Times New Roman" w:cs="Times New Roman"/>
          <w:b/>
          <w:bCs/>
          <w:color w:val="00B0F0"/>
          <w:kern w:val="0"/>
          <w:lang w:eastAsia="en-GB"/>
          <w14:ligatures w14:val="none"/>
        </w:rPr>
        <w:t xml:space="preserve">. </w:t>
      </w:r>
      <w:r w:rsidR="0030261E" w:rsidRPr="0030261E">
        <w:rPr>
          <w:b/>
          <w:bCs/>
          <w:color w:val="00B0F0"/>
        </w:rPr>
        <w:t>Risk of bias assessment of randomized controlled trials</w:t>
      </w:r>
      <w:r w:rsidR="0030261E" w:rsidRPr="0030261E">
        <w:rPr>
          <w:b/>
          <w:bCs/>
          <w:color w:val="00B0F0"/>
          <w:lang w:val="en-US"/>
        </w:rPr>
        <w:t xml:space="preserve"> </w:t>
      </w:r>
      <w:r w:rsidR="0030261E" w:rsidRPr="0030261E">
        <w:rPr>
          <w:b/>
          <w:bCs/>
          <w:color w:val="00B0F0"/>
        </w:rPr>
        <w:t>(Cochrane Risk of Bias tool)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7"/>
        <w:gridCol w:w="1342"/>
        <w:gridCol w:w="1933"/>
        <w:gridCol w:w="2186"/>
        <w:gridCol w:w="3300"/>
        <w:gridCol w:w="1556"/>
        <w:gridCol w:w="1647"/>
        <w:gridCol w:w="1467"/>
      </w:tblGrid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First author (year)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Intervention comparison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Randomisation / allocation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Blinding (participants/personnel/outcome)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Incomplete outcome data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Selective reporting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Overall RoB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14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Watson (2016)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SH vs excisional (eTHoS)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central randomisation, robust methods </w:t>
            </w:r>
            <w:hyperlink r:id="rId9" w:tgtFrame="_blank" w:history="1">
              <w:r w:rsidRPr="00833E7C">
                <w:rPr>
                  <w:rFonts w:ascii="Times New Roman" w:eastAsia="Times New Roman" w:hAnsi="Times New Roman" w:cs="Times New Roman"/>
                  <w:color w:val="0000FF"/>
                  <w:kern w:val="0"/>
                  <w:sz w:val="20"/>
                  <w:szCs w:val="20"/>
                  <w:u w:val="single"/>
                  <w:lang w:eastAsia="en-GB"/>
                  <w14:ligatures w14:val="none"/>
                </w:rPr>
                <w:t>PubMed+1</w:t>
              </w:r>
            </w:hyperlink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surgeons/patients not blinded; outcome assessors partly blinded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high follow-up completeness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M–Low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="00391070" w:rsidRPr="0039107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Some concerns (mainly due to lack of blinding)</w:t>
            </w:r>
            <w:r w:rsidRPr="00391070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Carvajal López (2019)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HAL-RAR vs excisional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randomisation reported but limited detail on concealment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unblinded surgical trial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L–M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follow-up acceptable but with some loss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protocol/registry unclear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Gachabayov (2023)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THD + mucopexy vs Ferguson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random sequence described; concealment not clearly reported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unblinded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L–M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Lim (2022)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LHP ± artery ligation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 – </w:t>
            </w:r>
            <w:r w:rsidR="00391070" w:rsidRPr="0039107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blinding inherent to surgical intervention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L–M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Shukla (2018)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Open vs stapled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simple randomisation; concealment unclear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limited details on withdrawal handling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Dekker (2022)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Hemorrhoidectomy vs RBL (Grade III)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M–L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reasonable description of randomisation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L–M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Jin (2024)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LHP vs RBL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(small, procedure-based trial)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Thiyagarajan (2017)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Harmonic vs Milligan-Morgan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Khanna (2010)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LigaSure vs Ferguson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</w:tbl>
    <w:p w:rsidR="0030261E" w:rsidRDefault="0030261E" w:rsidP="00A94098">
      <w:pPr>
        <w:spacing w:beforeAutospacing="1" w:afterAutospacing="1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A94098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Domains rated as:</w:t>
      </w:r>
      <w:r w:rsidRPr="00A9409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L = Low risk, M = Some concerns / unclear, H = High risk.</w:t>
      </w:r>
    </w:p>
    <w:p w:rsidR="00A94098" w:rsidRPr="00833E7C" w:rsidRDefault="00A94098" w:rsidP="00A94098">
      <w:pPr>
        <w:spacing w:beforeAutospacing="1" w:afterAutospacing="1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833E7C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GB"/>
          <w14:ligatures w14:val="none"/>
        </w:rPr>
        <w:t>In almost all surgical RCTs, </w:t>
      </w:r>
      <w:r w:rsidRPr="00833E7C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performance and detection bias are difficult to avoid</w:t>
      </w:r>
      <w:r w:rsidRPr="00833E7C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en-GB"/>
          <w14:ligatures w14:val="none"/>
        </w:rPr>
        <w:t> because neither surgeons nor patients are blinded; many also have only partially described allocation concealment, hence frequent “M” rather than “L”.</w:t>
      </w:r>
    </w:p>
    <w:p w:rsidR="00A94098" w:rsidRPr="00A94098" w:rsidRDefault="00A94098" w:rsidP="00A94098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30261E" w:rsidRPr="0030261E" w:rsidRDefault="00A94098" w:rsidP="0030261E">
      <w:pPr>
        <w:pStyle w:val="HTMLPreformatted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30261E">
        <w:rPr>
          <w:rFonts w:asciiTheme="minorHAnsi" w:hAnsiTheme="minorHAnsi" w:cstheme="minorHAnsi"/>
          <w:b/>
          <w:bCs/>
          <w:color w:val="00B0F0"/>
          <w:sz w:val="24"/>
          <w:szCs w:val="24"/>
        </w:rPr>
        <w:t>Table 4</w:t>
      </w:r>
      <w:r w:rsidR="006C7D0C">
        <w:rPr>
          <w:rFonts w:asciiTheme="minorHAnsi" w:hAnsiTheme="minorHAnsi" w:cstheme="minorHAnsi"/>
          <w:b/>
          <w:bCs/>
          <w:color w:val="00B0F0"/>
          <w:sz w:val="24"/>
          <w:szCs w:val="24"/>
          <w:lang w:val="en-US"/>
        </w:rPr>
        <w:t>A</w:t>
      </w:r>
      <w:r w:rsidRPr="0030261E">
        <w:rPr>
          <w:rFonts w:asciiTheme="minorHAnsi" w:hAnsiTheme="minorHAnsi" w:cstheme="minorHAnsi"/>
          <w:b/>
          <w:bCs/>
          <w:color w:val="00B0F0"/>
          <w:sz w:val="24"/>
          <w:szCs w:val="24"/>
        </w:rPr>
        <w:t xml:space="preserve">. </w:t>
      </w:r>
      <w:r w:rsidR="0030261E" w:rsidRPr="0030261E">
        <w:rPr>
          <w:rFonts w:asciiTheme="minorHAnsi" w:hAnsiTheme="minorHAnsi" w:cstheme="minorHAnsi"/>
          <w:b/>
          <w:bCs/>
          <w:color w:val="00B0F0"/>
          <w:sz w:val="24"/>
          <w:szCs w:val="24"/>
        </w:rPr>
        <w:t>Risk of bias assessment of observational studies(Newcastle–Ottawa Scale / ROBINS-I framework)</w:t>
      </w:r>
    </w:p>
    <w:p w:rsidR="00A94098" w:rsidRPr="00833E7C" w:rsidRDefault="00A94098" w:rsidP="00A94098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B0F0"/>
          <w:kern w:val="0"/>
          <w:lang w:eastAsia="en-GB"/>
          <w14:ligatures w14:val="none"/>
        </w:rPr>
      </w:pPr>
    </w:p>
    <w:p w:rsidR="00A94098" w:rsidRPr="00A94098" w:rsidRDefault="00A94098" w:rsidP="00A94098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409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Domains are summarised into: </w:t>
      </w:r>
      <w:r w:rsidRPr="00A94098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Selection</w:t>
      </w:r>
      <w:r w:rsidRPr="00A9409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, </w:t>
      </w:r>
      <w:r w:rsidRPr="00A94098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Confounding</w:t>
      </w:r>
      <w:r w:rsidRPr="00A9409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, </w:t>
      </w:r>
      <w:r w:rsidRPr="00A94098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Outcome measurement / follow-up</w:t>
      </w:r>
      <w:r w:rsidRPr="00A9409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6"/>
        <w:gridCol w:w="1442"/>
        <w:gridCol w:w="2478"/>
        <w:gridCol w:w="2389"/>
        <w:gridCol w:w="3120"/>
        <w:gridCol w:w="2174"/>
        <w:gridCol w:w="1829"/>
      </w:tblGrid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Ref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First author (year)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Design / focus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Selection bias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Confounding control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Outcome measurement &amp; follow-up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Overall RoB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Faes (2019)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LHP long-term results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single-centre cohort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no randomisation/comparator; limited adjustment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M–L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structured follow-up, but some attrition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Brusciano (2020)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Post-operative pain after LHP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non-randomised, pain influenced by many factors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validated pain scales but limited long-term data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Gambardella (2023)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Mid-term LHP vs MMH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comparative cohort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some attempt to balance groups but residual confounding likely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mid-term follow-up, routine data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Hoyuela (2016)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HAL-RAR safety &amp; 2-year follow-up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single-arm or weak comparator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M–L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reasonably complete follow-up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Lauricella (2024)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SH vs HAL-RAR long-term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non-randomised comparison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clinical and patient-reported outcomes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Boerhave (2023)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LHP observational cohort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inclusion criteria defined, but single-centre </w:t>
            </w:r>
            <w:hyperlink r:id="rId10" w:tgtFrame="_blank" w:history="1">
              <w:r w:rsidRPr="00833E7C">
                <w:rPr>
                  <w:rFonts w:ascii="Times New Roman" w:eastAsia="Times New Roman" w:hAnsi="Times New Roman" w:cs="Times New Roman"/>
                  <w:color w:val="0000FF"/>
                  <w:kern w:val="0"/>
                  <w:sz w:val="20"/>
                  <w:szCs w:val="20"/>
                  <w:u w:val="single"/>
                  <w:lang w:eastAsia="en-GB"/>
                  <w14:ligatures w14:val="none"/>
                </w:rPr>
                <w:t>PubMed+1</w:t>
              </w:r>
            </w:hyperlink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no randomisation; limited adjustment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structured follow-up; some loss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Islam (2024)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LHP in Grade II–IV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no control group, case-series style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Ram (2023)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LHP outcomes stratified by grade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observational, no randomisation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Lehmann (2020)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Long-term function after excisional hemorrhoidectomy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potential confounders (baseline function, obstetric history)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validated function scores, but recall bias possible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Chen (2013)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666 LigaSure hemorrhoidectomies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large single-centre series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no comparator, no adjustment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(primarily descriptive series)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Rho (2021)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LigaSure complications (18-year)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retrospective registry/cohort, no comparator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good capture of complications, but variable follow-up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36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Schneider (2019)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15-year follow-up stapled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no random allocation in long-term cohort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long-term but attrition &amp; survivorship bias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Garg (2013)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QoL after stapled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no strong control group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validated QoL tools but limited baseline comparison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García-Redondo (2024)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Spanish HEMO-FISS-QoL validation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psychometric rather than causal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M–L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good validation methodology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M–Low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(for its purpose as a validation study)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Rørvik (2023)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QoL in hemorrhoidal disease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cross-sectional/observational, many confounders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  <w:tr w:rsidR="00A94098" w:rsidRPr="00833E7C" w:rsidTr="00A94098"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Pathak (2024)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QoL &amp; incontinence after open hemorrhoidectomy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no randomised comparison; confounders likely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833E7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 – modest follow-up duration</w:t>
            </w:r>
          </w:p>
        </w:tc>
        <w:tc>
          <w:tcPr>
            <w:tcW w:w="0" w:type="auto"/>
            <w:hideMark/>
          </w:tcPr>
          <w:p w:rsidR="00A94098" w:rsidRPr="00833E7C" w:rsidRDefault="00A94098" w:rsidP="00A9409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33E7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M–H</w:t>
            </w:r>
          </w:p>
        </w:tc>
      </w:tr>
    </w:tbl>
    <w:p w:rsidR="000039FC" w:rsidRPr="00833E7C" w:rsidRDefault="000039FC">
      <w:pPr>
        <w:rPr>
          <w:sz w:val="20"/>
          <w:szCs w:val="20"/>
        </w:rPr>
      </w:pPr>
    </w:p>
    <w:sectPr w:rsidR="000039FC" w:rsidRPr="00833E7C" w:rsidSect="00A9409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098"/>
    <w:rsid w:val="000039FC"/>
    <w:rsid w:val="0030261E"/>
    <w:rsid w:val="00391070"/>
    <w:rsid w:val="003D16A5"/>
    <w:rsid w:val="006C7D0C"/>
    <w:rsid w:val="007D023B"/>
    <w:rsid w:val="00833E7C"/>
    <w:rsid w:val="00A94098"/>
    <w:rsid w:val="00CD4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5A43C"/>
  <w15:chartTrackingRefBased/>
  <w15:docId w15:val="{41095AFB-7698-0441-B827-B766F3451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940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94098"/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A94098"/>
    <w:rPr>
      <w:b/>
      <w:bCs/>
    </w:rPr>
  </w:style>
  <w:style w:type="character" w:customStyle="1" w:styleId="apple-converted-space">
    <w:name w:val="apple-converted-space"/>
    <w:basedOn w:val="DefaultParagraphFont"/>
    <w:rsid w:val="00A94098"/>
  </w:style>
  <w:style w:type="character" w:customStyle="1" w:styleId="ms-1">
    <w:name w:val="ms-1"/>
    <w:basedOn w:val="DefaultParagraphFont"/>
    <w:rsid w:val="00A94098"/>
  </w:style>
  <w:style w:type="character" w:customStyle="1" w:styleId="max-w-15ch">
    <w:name w:val="max-w-[15ch]"/>
    <w:basedOn w:val="DefaultParagraphFont"/>
    <w:rsid w:val="00A94098"/>
  </w:style>
  <w:style w:type="character" w:customStyle="1" w:styleId="-me-1">
    <w:name w:val="-me-1"/>
    <w:basedOn w:val="DefaultParagraphFont"/>
    <w:rsid w:val="00A94098"/>
  </w:style>
  <w:style w:type="paragraph" w:styleId="NormalWeb">
    <w:name w:val="Normal (Web)"/>
    <w:basedOn w:val="Normal"/>
    <w:uiPriority w:val="99"/>
    <w:semiHidden/>
    <w:unhideWhenUsed/>
    <w:rsid w:val="00A9409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table" w:styleId="TableGrid">
    <w:name w:val="Table Grid"/>
    <w:basedOn w:val="TableNormal"/>
    <w:uiPriority w:val="39"/>
    <w:rsid w:val="00A94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026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0261E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870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1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8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8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8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8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99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8446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3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3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9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12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77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1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08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686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002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649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100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6175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54677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29547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nk.springer.com/article/10.1007/s10151-020-02314-6?utm_source=chatgpt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uropepmc.org/article/med/36094598?utm_source=chatgpt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mc.ncbi.nlm.nih.gov/articles/PMC9388431/?utm_source=chatgpt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link.springer.com/article/10.1007/s10151-020-02314-6?utm_source=chatgpt.com" TargetMode="External"/><Relationship Id="rId10" Type="http://schemas.openxmlformats.org/officeDocument/2006/relationships/hyperlink" Target="https://pubmed.ncbi.nlm.nih.gov/36757069/?utm_source=chatgpt.com" TargetMode="External"/><Relationship Id="rId4" Type="http://schemas.openxmlformats.org/officeDocument/2006/relationships/hyperlink" Target="https://pubmed.ncbi.nlm.nih.gov/29420423/?utm_source=chatgpt.com" TargetMode="External"/><Relationship Id="rId9" Type="http://schemas.openxmlformats.org/officeDocument/2006/relationships/hyperlink" Target="https://pubmed.ncbi.nlm.nih.gov/27726951/?utm_source=chatgp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1481</Words>
  <Characters>8442</Characters>
  <Application>Microsoft Office Word</Application>
  <DocSecurity>0</DocSecurity>
  <Lines>70</Lines>
  <Paragraphs>19</Paragraphs>
  <ScaleCrop>false</ScaleCrop>
  <Company/>
  <LinksUpToDate>false</LinksUpToDate>
  <CharactersWithSpaces>9904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Alya Ali</dc:creator>
  <cp:keywords/>
  <dc:description/>
  <cp:lastModifiedBy>Alya Ali</cp:lastModifiedBy>
  <cp:revision>7</cp:revision>
  <dcterms:created xsi:type="dcterms:W3CDTF">2025-11-30T15:11:00Z</dcterms:created>
  <dcterms:modified xsi:type="dcterms:W3CDTF">2026-03-09T16:56:00Z</dcterms:modified>
</cp:coreProperties>
</file>